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88F45" w14:textId="6998B572" w:rsidR="000C2DBC" w:rsidRPr="000C2DBC" w:rsidRDefault="000C2DBC" w:rsidP="000C2DB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Pr="000C2DBC">
        <w:rPr>
          <w:rFonts w:ascii="Times New Roman" w:hAnsi="Times New Roman"/>
          <w:b/>
          <w:bCs/>
          <w:sz w:val="24"/>
          <w:szCs w:val="24"/>
        </w:rPr>
        <w:t>3</w:t>
      </w:r>
      <w:r w:rsidRPr="000C2DBC">
        <w:rPr>
          <w:rFonts w:ascii="Times New Roman" w:hAnsi="Times New Roman"/>
          <w:b/>
          <w:bCs/>
          <w:sz w:val="24"/>
          <w:szCs w:val="24"/>
        </w:rPr>
        <w:t xml:space="preserve"> DO UMOWY</w:t>
      </w:r>
    </w:p>
    <w:p w14:paraId="19D789B1" w14:textId="77777777" w:rsidR="000C2DBC" w:rsidRPr="000C2DBC" w:rsidRDefault="000C2DBC" w:rsidP="000C2DBC">
      <w:pPr>
        <w:rPr>
          <w:rFonts w:ascii="Times New Roman" w:hAnsi="Times New Roman"/>
          <w:b/>
          <w:bCs/>
          <w:sz w:val="24"/>
          <w:szCs w:val="24"/>
        </w:rPr>
      </w:pPr>
    </w:p>
    <w:p w14:paraId="511D2A20" w14:textId="2275BCC5" w:rsidR="000C2DBC" w:rsidRPr="000C2DBC" w:rsidRDefault="000C2DBC" w:rsidP="000C2DBC">
      <w:p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 xml:space="preserve">Wytyczne realizacji Przedmiotu Umowy zgodnie z zasadą „Do No </w:t>
      </w:r>
      <w:proofErr w:type="spellStart"/>
      <w:r w:rsidRPr="000C2DBC">
        <w:rPr>
          <w:rFonts w:ascii="Times New Roman" w:hAnsi="Times New Roman"/>
          <w:b/>
          <w:bCs/>
          <w:sz w:val="24"/>
          <w:szCs w:val="24"/>
        </w:rPr>
        <w:t>Significant</w:t>
      </w:r>
      <w:proofErr w:type="spellEnd"/>
      <w:r w:rsidRPr="000C2DB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C2DBC">
        <w:rPr>
          <w:rFonts w:ascii="Times New Roman" w:hAnsi="Times New Roman"/>
          <w:b/>
          <w:bCs/>
          <w:sz w:val="24"/>
          <w:szCs w:val="24"/>
        </w:rPr>
        <w:t>Harm</w:t>
      </w:r>
      <w:proofErr w:type="spellEnd"/>
      <w:r w:rsidRPr="000C2DBC">
        <w:rPr>
          <w:rFonts w:ascii="Times New Roman" w:hAnsi="Times New Roman"/>
          <w:b/>
          <w:bCs/>
          <w:sz w:val="24"/>
          <w:szCs w:val="24"/>
        </w:rPr>
        <w:t>” (DNSH)</w:t>
      </w:r>
    </w:p>
    <w:p w14:paraId="6C87C6BB" w14:textId="77777777" w:rsidR="000C2DBC" w:rsidRPr="000C2DBC" w:rsidRDefault="000C2DBC" w:rsidP="000C2DBC">
      <w:pPr>
        <w:rPr>
          <w:rFonts w:ascii="Times New Roman" w:hAnsi="Times New Roman"/>
          <w:b/>
          <w:bCs/>
          <w:sz w:val="24"/>
          <w:szCs w:val="24"/>
        </w:rPr>
      </w:pPr>
    </w:p>
    <w:p w14:paraId="0B3BFC38" w14:textId="77777777" w:rsidR="000C2DBC" w:rsidRDefault="000C2DBC" w:rsidP="000C2DBC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Dotyczy zadania:</w:t>
      </w:r>
      <w:r w:rsidRPr="000C2DBC">
        <w:rPr>
          <w:rFonts w:ascii="Times New Roman" w:hAnsi="Times New Roman"/>
          <w:sz w:val="24"/>
          <w:szCs w:val="24"/>
        </w:rPr>
        <w:t xml:space="preserve"> Poprawa małej retencji w Gminie </w:t>
      </w:r>
      <w:r w:rsidRPr="000C2DBC">
        <w:rPr>
          <w:rFonts w:ascii="Times New Roman" w:hAnsi="Times New Roman"/>
          <w:sz w:val="24"/>
          <w:szCs w:val="24"/>
        </w:rPr>
        <w:t>Bedlno</w:t>
      </w:r>
      <w:r w:rsidRPr="000C2DBC">
        <w:rPr>
          <w:rFonts w:ascii="Times New Roman" w:hAnsi="Times New Roman"/>
          <w:sz w:val="24"/>
          <w:szCs w:val="24"/>
        </w:rPr>
        <w:t xml:space="preserve"> etap I.</w:t>
      </w:r>
    </w:p>
    <w:p w14:paraId="624EC37D" w14:textId="13E31F7F" w:rsidR="000C2DBC" w:rsidRDefault="000C2DBC" w:rsidP="000C2DBC">
      <w:pPr>
        <w:overflowPunct/>
        <w:spacing w:line="276" w:lineRule="auto"/>
        <w:textAlignment w:val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0C2DBC">
        <w:rPr>
          <w:rFonts w:ascii="Times New Roman" w:hAnsi="Times New Roman"/>
          <w:sz w:val="24"/>
          <w:szCs w:val="24"/>
        </w:rPr>
        <w:br/>
      </w:r>
      <w:r w:rsidRPr="000C2DBC">
        <w:rPr>
          <w:rFonts w:ascii="Times New Roman" w:hAnsi="Times New Roman"/>
          <w:b/>
          <w:bCs/>
          <w:sz w:val="24"/>
          <w:szCs w:val="24"/>
        </w:rPr>
        <w:t>Zakres:</w:t>
      </w:r>
      <w:r w:rsidRPr="000C2DBC">
        <w:rPr>
          <w:rFonts w:ascii="Times New Roman" w:hAnsi="Times New Roman"/>
          <w:sz w:val="24"/>
          <w:szCs w:val="24"/>
        </w:rPr>
        <w:t xml:space="preserve"> Modernizacja </w:t>
      </w:r>
      <w:r w:rsidRPr="000C2DBC">
        <w:rPr>
          <w:rFonts w:ascii="Times New Roman" w:hAnsi="Times New Roman"/>
          <w:b/>
          <w:sz w:val="24"/>
          <w:szCs w:val="24"/>
        </w:rPr>
        <w:t>stawu w Bedlnie dla potrzeb zwiększenia zdolności retencyjnych, adaptacja istniejącego obszaru nad stawem do pełnienia funkcji retencyjnych poprzez zamianę powierzchni nieprzepuszczalnych na przepuszczalne, wprowadzanie terenów zielonych oraz modernizację pomostu na stawie w Bedlnie</w:t>
      </w:r>
      <w:r w:rsidRPr="000C2DBC">
        <w:rPr>
          <w:rFonts w:ascii="Times New Roman" w:hAnsi="Times New Roman"/>
          <w:sz w:val="24"/>
          <w:szCs w:val="24"/>
        </w:rPr>
        <w:t xml:space="preserve"> </w:t>
      </w:r>
      <w:r w:rsidRPr="000C2DBC">
        <w:rPr>
          <w:rFonts w:ascii="Times New Roman" w:hAnsi="Times New Roman"/>
          <w:color w:val="000000"/>
          <w:sz w:val="24"/>
          <w:szCs w:val="24"/>
        </w:rPr>
        <w:t xml:space="preserve">na działce oznaczonej nr ewidencyjnym </w:t>
      </w:r>
      <w:r w:rsidRPr="000C2DBC">
        <w:rPr>
          <w:rFonts w:ascii="Times New Roman" w:hAnsi="Times New Roman"/>
          <w:b/>
          <w:bCs/>
          <w:color w:val="000000"/>
          <w:sz w:val="24"/>
          <w:szCs w:val="24"/>
        </w:rPr>
        <w:t xml:space="preserve"> 154</w:t>
      </w:r>
      <w:r w:rsidRPr="000C2DBC">
        <w:rPr>
          <w:rFonts w:ascii="Times New Roman" w:hAnsi="Times New Roman"/>
          <w:color w:val="000000"/>
          <w:sz w:val="24"/>
          <w:szCs w:val="24"/>
        </w:rPr>
        <w:t xml:space="preserve">  obręb 0003 Bedlno Kamieniec </w:t>
      </w:r>
      <w:r w:rsidRPr="000C2DBC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w trybie zaprojektuj i wybuduj.</w:t>
      </w:r>
    </w:p>
    <w:p w14:paraId="6C6C5AC5" w14:textId="77777777" w:rsidR="000C2DBC" w:rsidRPr="000C2DBC" w:rsidRDefault="000C2DBC" w:rsidP="000C2DBC">
      <w:pPr>
        <w:overflowPunct/>
        <w:spacing w:line="276" w:lineRule="auto"/>
        <w:textAlignment w:val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14:paraId="1C245AF5" w14:textId="02AE873A" w:rsidR="000C2DBC" w:rsidRPr="000C2DBC" w:rsidRDefault="000C2DBC" w:rsidP="000C2DBC">
      <w:pPr>
        <w:rPr>
          <w:rFonts w:ascii="Times New Roman" w:hAnsi="Times New Roman"/>
          <w:b/>
          <w:bCs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§ 1. Postanowienia ogólne</w:t>
      </w:r>
    </w:p>
    <w:p w14:paraId="39C22FF6" w14:textId="77777777" w:rsidR="000C2DBC" w:rsidRPr="000C2DBC" w:rsidRDefault="000C2DBC" w:rsidP="000C2DBC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Niniejsze wytyczne określają obowiązki Wykonawcy w zakresie przestrzegania zasady „nie czyń poważnych szkód” (ang. </w:t>
      </w:r>
      <w:r w:rsidRPr="000C2DBC">
        <w:rPr>
          <w:rFonts w:ascii="Times New Roman" w:hAnsi="Times New Roman"/>
          <w:i/>
          <w:iCs/>
          <w:sz w:val="24"/>
          <w:szCs w:val="24"/>
        </w:rPr>
        <w:t xml:space="preserve">Do No </w:t>
      </w:r>
      <w:proofErr w:type="spellStart"/>
      <w:r w:rsidRPr="000C2DBC">
        <w:rPr>
          <w:rFonts w:ascii="Times New Roman" w:hAnsi="Times New Roman"/>
          <w:i/>
          <w:iCs/>
          <w:sz w:val="24"/>
          <w:szCs w:val="24"/>
        </w:rPr>
        <w:t>Significant</w:t>
      </w:r>
      <w:proofErr w:type="spellEnd"/>
      <w:r w:rsidRPr="000C2DBC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0C2DBC">
        <w:rPr>
          <w:rFonts w:ascii="Times New Roman" w:hAnsi="Times New Roman"/>
          <w:i/>
          <w:iCs/>
          <w:sz w:val="24"/>
          <w:szCs w:val="24"/>
        </w:rPr>
        <w:t>Harm</w:t>
      </w:r>
      <w:proofErr w:type="spellEnd"/>
      <w:r w:rsidRPr="000C2DBC">
        <w:rPr>
          <w:rFonts w:ascii="Times New Roman" w:hAnsi="Times New Roman"/>
          <w:sz w:val="24"/>
          <w:szCs w:val="24"/>
        </w:rPr>
        <w:t> – DNSH) w rozumieniu art. 17 Rozporządzenia Parlamentu Europejskiego i Rady (UE) 2020/852 (Rozporządzenie w sprawie Taksonomii).</w:t>
      </w:r>
    </w:p>
    <w:p w14:paraId="69B6CABA" w14:textId="77777777" w:rsidR="000C2DBC" w:rsidRPr="000C2DBC" w:rsidRDefault="000C2DBC" w:rsidP="000C2DBC">
      <w:pPr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Ponieważ umowa realizowana jest w formule „zaprojektuj i wybuduj”, Wykonawca jest zobowiązany do uwzględnienia zasady DNSH na obu etapach: sporządzania dokumentacji projektowej oraz wykonywania robót budowlanych.</w:t>
      </w:r>
    </w:p>
    <w:p w14:paraId="248C4406" w14:textId="77777777" w:rsidR="000C2DBC" w:rsidRPr="000C2DBC" w:rsidRDefault="000C2DBC" w:rsidP="000C2DBC">
      <w:pPr>
        <w:rPr>
          <w:rFonts w:ascii="Times New Roman" w:hAnsi="Times New Roman"/>
          <w:b/>
          <w:bCs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§ 2. Wytyczne dla 6 celów środowiskowych (Zasada DNSH)</w:t>
      </w:r>
    </w:p>
    <w:p w14:paraId="341A56B9" w14:textId="77777777" w:rsidR="000C2DBC" w:rsidRPr="000C2DBC" w:rsidRDefault="000C2DBC" w:rsidP="000C2DBC">
      <w:p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CEL 1: Łagodzenie zmian klimatu</w:t>
      </w:r>
      <w:r w:rsidRPr="000C2DBC">
        <w:rPr>
          <w:rFonts w:ascii="Times New Roman" w:hAnsi="Times New Roman"/>
          <w:sz w:val="24"/>
          <w:szCs w:val="24"/>
        </w:rPr>
        <w:t> </w:t>
      </w:r>
      <w:r w:rsidRPr="000C2DBC">
        <w:rPr>
          <w:rFonts w:ascii="Times New Roman" w:hAnsi="Times New Roman"/>
          <w:i/>
          <w:iCs/>
          <w:sz w:val="24"/>
          <w:szCs w:val="24"/>
        </w:rPr>
        <w:t>(Działanie nie prowadzi do znacznej emisji gazów cieplarnianych)</w:t>
      </w:r>
    </w:p>
    <w:p w14:paraId="717DC80D" w14:textId="77777777" w:rsidR="000C2DBC" w:rsidRPr="000C2DBC" w:rsidRDefault="000C2DBC" w:rsidP="000C2D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Etap projektowania:</w:t>
      </w:r>
      <w:r w:rsidRPr="000C2DBC">
        <w:rPr>
          <w:rFonts w:ascii="Times New Roman" w:hAnsi="Times New Roman"/>
          <w:sz w:val="24"/>
          <w:szCs w:val="24"/>
        </w:rPr>
        <w:t> Jeśli projekt przewiduje instalację urządzeń zasilanych energią (np. oświetlenie, pompy wodne), należy zaprojektować urządzenia o wysokiej efektywności energetycznej (np. oświetlenie LED, pompy spełniające rygorystyczne normy unijne).</w:t>
      </w:r>
    </w:p>
    <w:p w14:paraId="01709A8E" w14:textId="77777777" w:rsidR="000C2DBC" w:rsidRPr="000C2DBC" w:rsidRDefault="000C2DBC" w:rsidP="000C2DBC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Etap budowy:</w:t>
      </w:r>
      <w:r w:rsidRPr="000C2DBC">
        <w:rPr>
          <w:rFonts w:ascii="Times New Roman" w:hAnsi="Times New Roman"/>
          <w:sz w:val="24"/>
          <w:szCs w:val="24"/>
        </w:rPr>
        <w:t> Wykonawca zobowiązany jest do optymalizacji logistyki dostaw i wywozu materiałów w celu minimalizacji emisji CO2. Zaleca się stosowanie maszyn i urządzeń budowlanych w dobrym stanie technicznym, spełniających aktualne normy emisji spalin.</w:t>
      </w:r>
    </w:p>
    <w:p w14:paraId="57E5E891" w14:textId="77777777" w:rsidR="000C2DBC" w:rsidRPr="000C2DBC" w:rsidRDefault="000C2DBC" w:rsidP="000C2DBC">
      <w:p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CEL 2: Adaptacja do zmian klimatu</w:t>
      </w:r>
      <w:r w:rsidRPr="000C2DBC">
        <w:rPr>
          <w:rFonts w:ascii="Times New Roman" w:hAnsi="Times New Roman"/>
          <w:sz w:val="24"/>
          <w:szCs w:val="24"/>
        </w:rPr>
        <w:t> </w:t>
      </w:r>
      <w:r w:rsidRPr="000C2DBC">
        <w:rPr>
          <w:rFonts w:ascii="Times New Roman" w:hAnsi="Times New Roman"/>
          <w:i/>
          <w:iCs/>
          <w:sz w:val="24"/>
          <w:szCs w:val="24"/>
        </w:rPr>
        <w:t>(Działanie nie prowadzi do nasilenia niekorzystnych skutków obecnego i przyszłego klimatu)</w:t>
      </w:r>
    </w:p>
    <w:p w14:paraId="2A17D83F" w14:textId="77777777" w:rsidR="000C2DBC" w:rsidRPr="000C2DBC" w:rsidRDefault="000C2DBC" w:rsidP="000C2DBC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Etap projektowania:</w:t>
      </w:r>
      <w:r w:rsidRPr="000C2DBC">
        <w:rPr>
          <w:rFonts w:ascii="Times New Roman" w:hAnsi="Times New Roman"/>
          <w:sz w:val="24"/>
          <w:szCs w:val="24"/>
        </w:rPr>
        <w:t xml:space="preserve"> Samo zadanie stanowi działanie adaptacyjne (zwiększenie retencji). Projekt musi jednak uwzględniać prognozowane zmiany klimatyczne, w tym </w:t>
      </w:r>
      <w:r w:rsidRPr="000C2DBC">
        <w:rPr>
          <w:rFonts w:ascii="Times New Roman" w:hAnsi="Times New Roman"/>
          <w:sz w:val="24"/>
          <w:szCs w:val="24"/>
        </w:rPr>
        <w:lastRenderedPageBreak/>
        <w:t>odporność infrastruktury (np. pomostu, umocnień brzegowych) na ekstremalne zjawiska pogodowe (nawalne deszcze, fale upałów, susze). Zastosowane materiały muszą być odporne na wahania temperatur i wilgotności.</w:t>
      </w:r>
    </w:p>
    <w:p w14:paraId="6FCFB875" w14:textId="77777777" w:rsidR="000C2DBC" w:rsidRPr="000C2DBC" w:rsidRDefault="000C2DBC" w:rsidP="000C2DBC">
      <w:p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CEL 3: Zrównoważone wykorzystywanie i ochrona zasobów wodnych i morskich</w:t>
      </w:r>
      <w:r w:rsidRPr="000C2DBC">
        <w:rPr>
          <w:rFonts w:ascii="Times New Roman" w:hAnsi="Times New Roman"/>
          <w:sz w:val="24"/>
          <w:szCs w:val="24"/>
        </w:rPr>
        <w:t> </w:t>
      </w:r>
      <w:r w:rsidRPr="000C2DBC">
        <w:rPr>
          <w:rFonts w:ascii="Times New Roman" w:hAnsi="Times New Roman"/>
          <w:i/>
          <w:iCs/>
          <w:sz w:val="24"/>
          <w:szCs w:val="24"/>
        </w:rPr>
        <w:t>(Działanie nie szkodzi dobremu stanowi wód)</w:t>
      </w:r>
    </w:p>
    <w:p w14:paraId="0EE45CF7" w14:textId="77777777" w:rsidR="000C2DBC" w:rsidRPr="000C2DBC" w:rsidRDefault="000C2DBC" w:rsidP="000C2DBC">
      <w:pPr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Etap projektowania:</w:t>
      </w:r>
      <w:r w:rsidRPr="000C2DBC">
        <w:rPr>
          <w:rFonts w:ascii="Times New Roman" w:hAnsi="Times New Roman"/>
          <w:sz w:val="24"/>
          <w:szCs w:val="24"/>
        </w:rPr>
        <w:t> Rozwiązania projektowe (w tym nowe powierzchnie przepuszczalne i modernizacja stawu) muszą wspierać naturalną retencję i infiltrację wód opadowych do gruntu. Projekt nie może zakłócać naturalnego przepływu wód podziemnych w sposób negatywnie wpływający na przyległe ekosystemy.</w:t>
      </w:r>
    </w:p>
    <w:p w14:paraId="69CF17F7" w14:textId="77777777" w:rsidR="000C2DBC" w:rsidRPr="000C2DBC" w:rsidRDefault="000C2DBC" w:rsidP="000C2DBC">
      <w:pPr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Etap budowy:</w:t>
      </w:r>
      <w:r w:rsidRPr="000C2DBC">
        <w:rPr>
          <w:rFonts w:ascii="Times New Roman" w:hAnsi="Times New Roman"/>
          <w:sz w:val="24"/>
          <w:szCs w:val="24"/>
        </w:rPr>
        <w:t> Wykonawca bezwzględnie zabezpieczy obszar stawu przed przedostaniem się do wody zanieczyszczeń budowlanych (np. resztek betonu, farb, paliw z maszyn). Zabrania się mycia maszyn i narzędzi budowlanych w stawie lub w jego bezpośrednim sąsiedztwie.</w:t>
      </w:r>
    </w:p>
    <w:p w14:paraId="48D74D53" w14:textId="77777777" w:rsidR="000C2DBC" w:rsidRPr="000C2DBC" w:rsidRDefault="000C2DBC" w:rsidP="000C2DBC">
      <w:p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CEL 4: Przejście na gospodarkę o obiegu zamkniętym (GOZ)</w:t>
      </w:r>
      <w:r w:rsidRPr="000C2DBC">
        <w:rPr>
          <w:rFonts w:ascii="Times New Roman" w:hAnsi="Times New Roman"/>
          <w:sz w:val="24"/>
          <w:szCs w:val="24"/>
        </w:rPr>
        <w:t> </w:t>
      </w:r>
      <w:r w:rsidRPr="000C2DBC">
        <w:rPr>
          <w:rFonts w:ascii="Times New Roman" w:hAnsi="Times New Roman"/>
          <w:i/>
          <w:iCs/>
          <w:sz w:val="24"/>
          <w:szCs w:val="24"/>
        </w:rPr>
        <w:t>(Działanie nie prowadzi do znaczącego nieefektywnego wykorzystania materiałów i generowania odpadów)</w:t>
      </w:r>
    </w:p>
    <w:p w14:paraId="06BE46E4" w14:textId="77777777" w:rsidR="000C2DBC" w:rsidRPr="000C2DBC" w:rsidRDefault="000C2DBC" w:rsidP="000C2DBC">
      <w:pPr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Etap projektowania:</w:t>
      </w:r>
      <w:r w:rsidRPr="000C2DBC">
        <w:rPr>
          <w:rFonts w:ascii="Times New Roman" w:hAnsi="Times New Roman"/>
          <w:sz w:val="24"/>
          <w:szCs w:val="24"/>
        </w:rPr>
        <w:t> Projekt powinien zakładać wykorzystanie materiałów trwałych, nadających się do naprawy lub recyklingu (np. przy projektowaniu pomostu).</w:t>
      </w:r>
    </w:p>
    <w:p w14:paraId="4CB25538" w14:textId="77777777" w:rsidR="000C2DBC" w:rsidRPr="000C2DBC" w:rsidRDefault="000C2DBC" w:rsidP="000C2DBC">
      <w:pPr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Etap budowy:</w:t>
      </w:r>
    </w:p>
    <w:p w14:paraId="707C2E9E" w14:textId="77777777" w:rsidR="000C2DBC" w:rsidRPr="000C2DBC" w:rsidRDefault="000C2DBC" w:rsidP="000C2DBC">
      <w:pPr>
        <w:numPr>
          <w:ilvl w:val="1"/>
          <w:numId w:val="20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Części z rozbiórki powierzchni nieprzepuszczalnych powinny być w miarę możliwości wykorzystane ponownie na placu budowy (np. jako podbudowa).</w:t>
      </w:r>
    </w:p>
    <w:p w14:paraId="6715451A" w14:textId="77777777" w:rsidR="000C2DBC" w:rsidRPr="000C2DBC" w:rsidRDefault="000C2DBC" w:rsidP="000C2DBC">
      <w:pPr>
        <w:numPr>
          <w:ilvl w:val="1"/>
          <w:numId w:val="20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Wykonawca musi zapewnić, że co najmniej </w:t>
      </w:r>
      <w:r w:rsidRPr="000C2DBC">
        <w:rPr>
          <w:rFonts w:ascii="Times New Roman" w:hAnsi="Times New Roman"/>
          <w:b/>
          <w:bCs/>
          <w:sz w:val="24"/>
          <w:szCs w:val="24"/>
        </w:rPr>
        <w:t>70% wagowo</w:t>
      </w:r>
      <w:r w:rsidRPr="000C2DBC">
        <w:rPr>
          <w:rFonts w:ascii="Times New Roman" w:hAnsi="Times New Roman"/>
          <w:sz w:val="24"/>
          <w:szCs w:val="24"/>
        </w:rPr>
        <w:t> (z wyłączeniem materiałów naturalnych, o których mowa w kategorii 17 05 04 w europejskim wykazie odpadów) wytworzonych na placu budowy odpadów innych niż niebezpieczne z budowy i rozbiórki zostanie przygotowane do ponownego użycia, recyklingu lub innego odzysku materiałów.</w:t>
      </w:r>
    </w:p>
    <w:p w14:paraId="3608F141" w14:textId="77777777" w:rsidR="000C2DBC" w:rsidRPr="000C2DBC" w:rsidRDefault="000C2DBC" w:rsidP="000C2DBC">
      <w:pPr>
        <w:numPr>
          <w:ilvl w:val="1"/>
          <w:numId w:val="20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Masy ziemne z wykopów (z modernizacji stawu) należy, o ile to możliwe i czyste pod względem chemicznym, zagospodarować na terenie inwestycji (np. do ukształtowania terenów zielonych).</w:t>
      </w:r>
    </w:p>
    <w:p w14:paraId="101C194B" w14:textId="77777777" w:rsidR="000C2DBC" w:rsidRPr="000C2DBC" w:rsidRDefault="000C2DBC" w:rsidP="000C2DBC">
      <w:p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CEL 5: Zapobieganie zanieczyszczeniom i ich kontrola</w:t>
      </w:r>
      <w:r w:rsidRPr="000C2DBC">
        <w:rPr>
          <w:rFonts w:ascii="Times New Roman" w:hAnsi="Times New Roman"/>
          <w:sz w:val="24"/>
          <w:szCs w:val="24"/>
        </w:rPr>
        <w:t> </w:t>
      </w:r>
      <w:r w:rsidRPr="000C2DBC">
        <w:rPr>
          <w:rFonts w:ascii="Times New Roman" w:hAnsi="Times New Roman"/>
          <w:i/>
          <w:iCs/>
          <w:sz w:val="24"/>
          <w:szCs w:val="24"/>
        </w:rPr>
        <w:t>(Działanie nie powoduje znacznego wzrostu emisji zanieczyszczeń)</w:t>
      </w:r>
    </w:p>
    <w:p w14:paraId="2102FB16" w14:textId="77777777" w:rsidR="000C2DBC" w:rsidRPr="000C2DBC" w:rsidRDefault="000C2DBC" w:rsidP="000C2DBC">
      <w:pPr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Materiały:</w:t>
      </w:r>
      <w:r w:rsidRPr="000C2DBC">
        <w:rPr>
          <w:rFonts w:ascii="Times New Roman" w:hAnsi="Times New Roman"/>
          <w:sz w:val="24"/>
          <w:szCs w:val="24"/>
        </w:rPr>
        <w:t xml:space="preserve"> Do modernizacji pomostu i ewentualnych umocnień drewnianych należy użyć środków impregnujących bezpiecznych dla środowiska wodnego, niezawierających metali ciężkich ani toksycznych </w:t>
      </w:r>
      <w:proofErr w:type="spellStart"/>
      <w:r w:rsidRPr="000C2DBC">
        <w:rPr>
          <w:rFonts w:ascii="Times New Roman" w:hAnsi="Times New Roman"/>
          <w:sz w:val="24"/>
          <w:szCs w:val="24"/>
        </w:rPr>
        <w:t>biocydów</w:t>
      </w:r>
      <w:proofErr w:type="spellEnd"/>
      <w:r w:rsidRPr="000C2DBC">
        <w:rPr>
          <w:rFonts w:ascii="Times New Roman" w:hAnsi="Times New Roman"/>
          <w:sz w:val="24"/>
          <w:szCs w:val="24"/>
        </w:rPr>
        <w:t xml:space="preserve">, które mogłyby przenikać </w:t>
      </w:r>
      <w:r w:rsidRPr="000C2DBC">
        <w:rPr>
          <w:rFonts w:ascii="Times New Roman" w:hAnsi="Times New Roman"/>
          <w:sz w:val="24"/>
          <w:szCs w:val="24"/>
        </w:rPr>
        <w:lastRenderedPageBreak/>
        <w:t>do wody (wymywać się). Zastosowane farby i kleje muszą charakteryzować się niską emisją Lotnych Związków Organicznych (LZO).</w:t>
      </w:r>
    </w:p>
    <w:p w14:paraId="0A672E3F" w14:textId="77777777" w:rsidR="000C2DBC" w:rsidRPr="000C2DBC" w:rsidRDefault="000C2DBC" w:rsidP="000C2DBC">
      <w:pPr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Plac budowy:</w:t>
      </w:r>
      <w:r w:rsidRPr="000C2DBC">
        <w:rPr>
          <w:rFonts w:ascii="Times New Roman" w:hAnsi="Times New Roman"/>
          <w:sz w:val="24"/>
          <w:szCs w:val="24"/>
        </w:rPr>
        <w:t> Wykonawca wdroży środki ograniczające emisję pyłu i hałasu. Składowanie materiałów chemicznych i paliw na placu budowy musi odbywać się na szczelnym, zabezpieczonym podłożu (np. w kuwetach wychwytowych).</w:t>
      </w:r>
    </w:p>
    <w:p w14:paraId="3365E3A8" w14:textId="77777777" w:rsidR="000C2DBC" w:rsidRPr="000C2DBC" w:rsidRDefault="000C2DBC" w:rsidP="000C2DBC">
      <w:p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CEL 6: Ochrona i odbudowa bioróżnorodności i ekosystemów</w:t>
      </w:r>
      <w:r w:rsidRPr="000C2DBC">
        <w:rPr>
          <w:rFonts w:ascii="Times New Roman" w:hAnsi="Times New Roman"/>
          <w:sz w:val="24"/>
          <w:szCs w:val="24"/>
        </w:rPr>
        <w:t> </w:t>
      </w:r>
      <w:r w:rsidRPr="000C2DBC">
        <w:rPr>
          <w:rFonts w:ascii="Times New Roman" w:hAnsi="Times New Roman"/>
          <w:i/>
          <w:iCs/>
          <w:sz w:val="24"/>
          <w:szCs w:val="24"/>
        </w:rPr>
        <w:t>(Działanie nie szkodzi dobremu stanowi ekosystemów)</w:t>
      </w:r>
    </w:p>
    <w:p w14:paraId="66DB636B" w14:textId="77777777" w:rsidR="000C2DBC" w:rsidRPr="000C2DBC" w:rsidRDefault="000C2DBC" w:rsidP="000C2DBC">
      <w:pPr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Etap projektowania:</w:t>
      </w:r>
      <w:r w:rsidRPr="000C2DBC">
        <w:rPr>
          <w:rFonts w:ascii="Times New Roman" w:hAnsi="Times New Roman"/>
          <w:sz w:val="24"/>
          <w:szCs w:val="24"/>
        </w:rPr>
        <w:t xml:space="preserve"> Projekt </w:t>
      </w:r>
      <w:proofErr w:type="spellStart"/>
      <w:r w:rsidRPr="000C2DBC">
        <w:rPr>
          <w:rFonts w:ascii="Times New Roman" w:hAnsi="Times New Roman"/>
          <w:sz w:val="24"/>
          <w:szCs w:val="24"/>
        </w:rPr>
        <w:t>nasadzeń</w:t>
      </w:r>
      <w:proofErr w:type="spellEnd"/>
      <w:r w:rsidRPr="000C2DBC">
        <w:rPr>
          <w:rFonts w:ascii="Times New Roman" w:hAnsi="Times New Roman"/>
          <w:sz w:val="24"/>
          <w:szCs w:val="24"/>
        </w:rPr>
        <w:t xml:space="preserve"> terenów zielonych musi zakładać wykorzystanie rodzimych, nieinwazyjnych gatunków roślin, przystosowanych do warunków siedliskowych (roślinność wilgociolubna / wodna). Kształtowanie brzegów stawu powinno tworzyć przyjazne habitaty (np. łagodne nachylenie skarpy umożliwiające wyjście z wody płazom i drobnym zwierzętom).</w:t>
      </w:r>
    </w:p>
    <w:p w14:paraId="0981F357" w14:textId="77777777" w:rsidR="000C2DBC" w:rsidRPr="000C2DBC" w:rsidRDefault="000C2DBC" w:rsidP="000C2DBC">
      <w:pPr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Etap budowy:</w:t>
      </w:r>
    </w:p>
    <w:p w14:paraId="5961008F" w14:textId="77777777" w:rsidR="000C2DBC" w:rsidRPr="000C2DBC" w:rsidRDefault="000C2DBC" w:rsidP="000C2DBC">
      <w:pPr>
        <w:numPr>
          <w:ilvl w:val="1"/>
          <w:numId w:val="22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Wycinka istniejącej, kolidującej roślinności (jeśli jest niezbędna i posiada stosowne zezwolenia) musi odbywać się poza okresem lęgowym ptaków (zasadniczo od 15 października do końca lutego), chyba że nadzór przyrodniczy stwierdzi brak gniazd.</w:t>
      </w:r>
    </w:p>
    <w:p w14:paraId="795F5160" w14:textId="77777777" w:rsidR="000C2DBC" w:rsidRPr="000C2DBC" w:rsidRDefault="000C2DBC" w:rsidP="000C2DBC">
      <w:pPr>
        <w:numPr>
          <w:ilvl w:val="1"/>
          <w:numId w:val="22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Istniejące drzewa i krzewy niepodlegające wycince muszą zostać fizycznie zabezpieczone (np. odeskowanie pni, ogrodzenie strefy korzeniowej) na czas prowadzenia robót z użyciem ciężkiego sprzętu.</w:t>
      </w:r>
    </w:p>
    <w:p w14:paraId="58C1D180" w14:textId="77777777" w:rsidR="000C2DBC" w:rsidRPr="000C2DBC" w:rsidRDefault="000C2DBC" w:rsidP="000C2DBC">
      <w:pPr>
        <w:rPr>
          <w:rFonts w:ascii="Times New Roman" w:hAnsi="Times New Roman"/>
          <w:b/>
          <w:bCs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§ 3. Wymogi dokumentacyjne i sprawozdawcze</w:t>
      </w:r>
    </w:p>
    <w:p w14:paraId="1E8EFEA2" w14:textId="77777777" w:rsidR="000C2DBC" w:rsidRPr="000C2DBC" w:rsidRDefault="000C2DBC" w:rsidP="000C2DBC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Wykonawca jest zobowiązany do gromadzenia i dostarczenia Zamawiającemu dowodów potwierdzających zgodność z zasadą DNSH, w tym m.in.:</w:t>
      </w:r>
    </w:p>
    <w:p w14:paraId="6ECB4C3D" w14:textId="77777777" w:rsidR="000C2DBC" w:rsidRPr="000C2DBC" w:rsidRDefault="000C2DBC" w:rsidP="000C2DBC">
      <w:pPr>
        <w:numPr>
          <w:ilvl w:val="1"/>
          <w:numId w:val="23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Karty Przekazania Odpadu (KPO) potwierdzające osiągnięcie 70% wskaźnika odzysku/recyklingu dla odpadów budowlanych.</w:t>
      </w:r>
    </w:p>
    <w:p w14:paraId="0838B3A1" w14:textId="77777777" w:rsidR="000C2DBC" w:rsidRPr="000C2DBC" w:rsidRDefault="000C2DBC" w:rsidP="000C2DBC">
      <w:pPr>
        <w:numPr>
          <w:ilvl w:val="1"/>
          <w:numId w:val="23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Karty techniczne (Certyfikaty/Atesty) zastosowanych materiałów, w szczególności środków użytych do impregnacji drewna na pomost, poświadczające ich bezpieczeństwo dla środowiska wodnego.</w:t>
      </w:r>
    </w:p>
    <w:p w14:paraId="024FD785" w14:textId="77777777" w:rsidR="000C2DBC" w:rsidRPr="000C2DBC" w:rsidRDefault="000C2DBC" w:rsidP="000C2DBC">
      <w:pPr>
        <w:numPr>
          <w:ilvl w:val="1"/>
          <w:numId w:val="23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Dokumentację fotograficzną z przebiegu prac (np. zabezpieczenie drzew, organizacja placu budowy zabezpieczająca przed zanieczyszczeniem wody).</w:t>
      </w:r>
    </w:p>
    <w:p w14:paraId="4C0BCD5A" w14:textId="77777777" w:rsidR="000C2DBC" w:rsidRPr="000C2DBC" w:rsidRDefault="000C2DBC" w:rsidP="000C2DBC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Na etapie odbioru dokumentacji projektowej, Wykonawca przedłoży krótkie oświadczenie/raport opisujący w jaki sposób rozwiązania projektowe realizują wytyczne z § 2.</w:t>
      </w:r>
    </w:p>
    <w:p w14:paraId="7BD1CCD6" w14:textId="77777777" w:rsidR="000C2DBC" w:rsidRPr="000C2DBC" w:rsidRDefault="000C2DBC" w:rsidP="000C2DBC">
      <w:pPr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lastRenderedPageBreak/>
        <w:t>Przed podpisaniem protokołu odbioru końcowego robót, Wykonawca przedłoży Zamawiającemu pisemne Oświadczenie o realizacji inwestycji zgodnie z zasadą DNSH wraz ze skompletowaną dokumentacją dowodową, o której mowa w ust. 1.</w:t>
      </w:r>
    </w:p>
    <w:p w14:paraId="3AAC281A" w14:textId="1747A2D9" w:rsidR="000C2DBC" w:rsidRPr="000C2DBC" w:rsidRDefault="000C2DBC" w:rsidP="000C2DBC">
      <w:pPr>
        <w:rPr>
          <w:rFonts w:ascii="Times New Roman" w:hAnsi="Times New Roman"/>
          <w:sz w:val="24"/>
          <w:szCs w:val="24"/>
        </w:rPr>
      </w:pPr>
    </w:p>
    <w:p w14:paraId="798B38BF" w14:textId="77777777" w:rsidR="000C2DBC" w:rsidRPr="000C2DBC" w:rsidRDefault="000C2DBC" w:rsidP="000C2DBC">
      <w:p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b/>
          <w:bCs/>
          <w:sz w:val="24"/>
          <w:szCs w:val="24"/>
        </w:rPr>
        <w:t>Podpisy Stron:</w:t>
      </w:r>
    </w:p>
    <w:p w14:paraId="6D0CE647" w14:textId="77777777" w:rsidR="000C2DBC" w:rsidRPr="000C2DBC" w:rsidRDefault="000C2DBC" w:rsidP="000C2DBC">
      <w:pPr>
        <w:rPr>
          <w:rFonts w:ascii="Times New Roman" w:hAnsi="Times New Roman"/>
          <w:sz w:val="24"/>
          <w:szCs w:val="24"/>
        </w:rPr>
      </w:pPr>
      <w:r w:rsidRPr="000C2DBC">
        <w:rPr>
          <w:rFonts w:ascii="Times New Roman" w:hAnsi="Times New Roman"/>
          <w:sz w:val="24"/>
          <w:szCs w:val="24"/>
        </w:rPr>
        <w:t>Zamawiający: ....................................... Wykonawca: .......................................</w:t>
      </w:r>
    </w:p>
    <w:p w14:paraId="4FEDC36B" w14:textId="77777777" w:rsidR="00322EFA" w:rsidRPr="000C2DBC" w:rsidRDefault="00322EFA">
      <w:pPr>
        <w:rPr>
          <w:rFonts w:ascii="Times New Roman" w:hAnsi="Times New Roman"/>
          <w:sz w:val="24"/>
          <w:szCs w:val="24"/>
        </w:rPr>
      </w:pPr>
    </w:p>
    <w:sectPr w:rsidR="00322EFA" w:rsidRPr="000C2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DB8BF" w14:textId="77777777" w:rsidR="0099758A" w:rsidRDefault="0099758A" w:rsidP="00223347">
      <w:pPr>
        <w:spacing w:line="240" w:lineRule="auto"/>
      </w:pPr>
      <w:r>
        <w:separator/>
      </w:r>
    </w:p>
  </w:endnote>
  <w:endnote w:type="continuationSeparator" w:id="0">
    <w:p w14:paraId="5FAFB3CF" w14:textId="77777777" w:rsidR="0099758A" w:rsidRDefault="0099758A" w:rsidP="002233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CCB7" w14:textId="77777777" w:rsidR="0099758A" w:rsidRDefault="0099758A" w:rsidP="00223347">
      <w:pPr>
        <w:spacing w:line="240" w:lineRule="auto"/>
      </w:pPr>
      <w:r>
        <w:separator/>
      </w:r>
    </w:p>
  </w:footnote>
  <w:footnote w:type="continuationSeparator" w:id="0">
    <w:p w14:paraId="09945D4C" w14:textId="77777777" w:rsidR="0099758A" w:rsidRDefault="0099758A" w:rsidP="002233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526"/>
    <w:multiLevelType w:val="multilevel"/>
    <w:tmpl w:val="79B6A814"/>
    <w:lvl w:ilvl="0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9" w:hanging="1800"/>
      </w:pPr>
      <w:rPr>
        <w:rFonts w:hint="default"/>
      </w:rPr>
    </w:lvl>
  </w:abstractNum>
  <w:abstractNum w:abstractNumId="1" w15:restartNumberingAfterBreak="0">
    <w:nsid w:val="058313E7"/>
    <w:multiLevelType w:val="hybridMultilevel"/>
    <w:tmpl w:val="5ED0E94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0AA332A2"/>
    <w:multiLevelType w:val="hybridMultilevel"/>
    <w:tmpl w:val="3AF078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807951"/>
    <w:multiLevelType w:val="hybridMultilevel"/>
    <w:tmpl w:val="5D6C4CDA"/>
    <w:lvl w:ilvl="0" w:tplc="2F32DC6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149857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2A1EB1"/>
    <w:multiLevelType w:val="hybridMultilevel"/>
    <w:tmpl w:val="E3D296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157496"/>
    <w:multiLevelType w:val="hybridMultilevel"/>
    <w:tmpl w:val="6ABC3F46"/>
    <w:lvl w:ilvl="0" w:tplc="90F69FE0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EF7FB1"/>
    <w:multiLevelType w:val="multilevel"/>
    <w:tmpl w:val="125E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A098E"/>
    <w:multiLevelType w:val="hybridMultilevel"/>
    <w:tmpl w:val="645A5EB0"/>
    <w:lvl w:ilvl="0" w:tplc="941EBA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216886"/>
    <w:multiLevelType w:val="multilevel"/>
    <w:tmpl w:val="60C83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A71E03"/>
    <w:multiLevelType w:val="multilevel"/>
    <w:tmpl w:val="00340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D47CAF"/>
    <w:multiLevelType w:val="hybridMultilevel"/>
    <w:tmpl w:val="0FF6D7B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41690EA9"/>
    <w:multiLevelType w:val="hybridMultilevel"/>
    <w:tmpl w:val="45983E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D46BF"/>
    <w:multiLevelType w:val="hybridMultilevel"/>
    <w:tmpl w:val="AD1C846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1">
      <w:start w:val="1"/>
      <w:numFmt w:val="decimal"/>
      <w:lvlText w:val="%6)"/>
      <w:lvlJc w:val="lef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094082C"/>
    <w:multiLevelType w:val="multilevel"/>
    <w:tmpl w:val="530C7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BB6799"/>
    <w:multiLevelType w:val="hybridMultilevel"/>
    <w:tmpl w:val="4E82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765AC"/>
    <w:multiLevelType w:val="multilevel"/>
    <w:tmpl w:val="9A7AD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2D7C6E"/>
    <w:multiLevelType w:val="multilevel"/>
    <w:tmpl w:val="BE3EF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800E94"/>
    <w:multiLevelType w:val="hybridMultilevel"/>
    <w:tmpl w:val="3E083EF8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 w15:restartNumberingAfterBreak="0">
    <w:nsid w:val="64571DD3"/>
    <w:multiLevelType w:val="hybridMultilevel"/>
    <w:tmpl w:val="AC5E2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449FD"/>
    <w:multiLevelType w:val="hybridMultilevel"/>
    <w:tmpl w:val="4F6423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F5607AB"/>
    <w:multiLevelType w:val="multilevel"/>
    <w:tmpl w:val="C96A7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C55175"/>
    <w:multiLevelType w:val="hybridMultilevel"/>
    <w:tmpl w:val="87C4D3D0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7CC9795F"/>
    <w:multiLevelType w:val="multilevel"/>
    <w:tmpl w:val="FF2A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1168305">
    <w:abstractNumId w:val="7"/>
  </w:num>
  <w:num w:numId="2" w16cid:durableId="1631323148">
    <w:abstractNumId w:val="19"/>
  </w:num>
  <w:num w:numId="3" w16cid:durableId="1518617080">
    <w:abstractNumId w:val="2"/>
  </w:num>
  <w:num w:numId="4" w16cid:durableId="1805928209">
    <w:abstractNumId w:val="3"/>
  </w:num>
  <w:num w:numId="5" w16cid:durableId="553464784">
    <w:abstractNumId w:val="0"/>
  </w:num>
  <w:num w:numId="6" w16cid:durableId="346834161">
    <w:abstractNumId w:val="1"/>
  </w:num>
  <w:num w:numId="7" w16cid:durableId="318969805">
    <w:abstractNumId w:val="12"/>
  </w:num>
  <w:num w:numId="8" w16cid:durableId="684597073">
    <w:abstractNumId w:val="18"/>
  </w:num>
  <w:num w:numId="9" w16cid:durableId="1297830251">
    <w:abstractNumId w:val="4"/>
  </w:num>
  <w:num w:numId="10" w16cid:durableId="1162042489">
    <w:abstractNumId w:val="14"/>
  </w:num>
  <w:num w:numId="11" w16cid:durableId="1179200724">
    <w:abstractNumId w:val="5"/>
  </w:num>
  <w:num w:numId="12" w16cid:durableId="1219169270">
    <w:abstractNumId w:val="21"/>
  </w:num>
  <w:num w:numId="13" w16cid:durableId="398791364">
    <w:abstractNumId w:val="10"/>
  </w:num>
  <w:num w:numId="14" w16cid:durableId="82922775">
    <w:abstractNumId w:val="17"/>
  </w:num>
  <w:num w:numId="15" w16cid:durableId="1327901684">
    <w:abstractNumId w:val="11"/>
  </w:num>
  <w:num w:numId="16" w16cid:durableId="178811206">
    <w:abstractNumId w:val="8"/>
  </w:num>
  <w:num w:numId="17" w16cid:durableId="106505284">
    <w:abstractNumId w:val="15"/>
  </w:num>
  <w:num w:numId="18" w16cid:durableId="360935830">
    <w:abstractNumId w:val="20"/>
  </w:num>
  <w:num w:numId="19" w16cid:durableId="2118139137">
    <w:abstractNumId w:val="13"/>
  </w:num>
  <w:num w:numId="20" w16cid:durableId="1415080582">
    <w:abstractNumId w:val="6"/>
  </w:num>
  <w:num w:numId="21" w16cid:durableId="618686864">
    <w:abstractNumId w:val="16"/>
  </w:num>
  <w:num w:numId="22" w16cid:durableId="704913664">
    <w:abstractNumId w:val="22"/>
  </w:num>
  <w:num w:numId="23" w16cid:durableId="9365970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50B"/>
    <w:rsid w:val="000C2DBC"/>
    <w:rsid w:val="00223347"/>
    <w:rsid w:val="00322EFA"/>
    <w:rsid w:val="005A6986"/>
    <w:rsid w:val="006D050B"/>
    <w:rsid w:val="00736114"/>
    <w:rsid w:val="0099758A"/>
    <w:rsid w:val="00CC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F1B79"/>
  <w15:chartTrackingRefBased/>
  <w15:docId w15:val="{8D58DFD7-F680-4FA0-B79C-CA05BE68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3347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0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0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05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05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05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05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05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05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05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05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05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05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050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050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05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05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05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05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05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0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05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05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05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050B"/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D05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050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05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050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050B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347"/>
    <w:pPr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347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223347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34"/>
    <w:rsid w:val="00223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Janiak-Grotkowska</dc:creator>
  <cp:keywords/>
  <dc:description/>
  <cp:lastModifiedBy>Katarzyna Janiak-Grotkowska</cp:lastModifiedBy>
  <cp:revision>2</cp:revision>
  <cp:lastPrinted>2026-04-01T07:12:00Z</cp:lastPrinted>
  <dcterms:created xsi:type="dcterms:W3CDTF">2026-04-01T08:16:00Z</dcterms:created>
  <dcterms:modified xsi:type="dcterms:W3CDTF">2026-04-01T08:16:00Z</dcterms:modified>
</cp:coreProperties>
</file>